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P R O I E C T 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>DE</w:t>
      </w:r>
      <w:r w:rsidR="00BD6B16">
        <w:rPr>
          <w:rFonts w:ascii="Tahoma" w:hAnsi="Tahoma" w:cs="Tahoma"/>
          <w:b/>
          <w:sz w:val="22"/>
          <w:szCs w:val="22"/>
          <w:lang w:eastAsia="ar-SA"/>
        </w:rPr>
        <w:t xml:space="preserve">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H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O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T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Ă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Â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 xml:space="preserve">E </w:t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7349FB" w:rsidRP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7A7A5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124514" w:rsidRDefault="00A01A07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>P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>ri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vind 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 xml:space="preserve">aprobarea </w:t>
      </w:r>
      <w:r w:rsidR="00097441">
        <w:rPr>
          <w:rFonts w:ascii="Tahoma" w:hAnsi="Tahoma" w:cs="Tahoma"/>
          <w:b/>
          <w:sz w:val="22"/>
          <w:szCs w:val="22"/>
          <w:lang w:eastAsia="ar-SA"/>
        </w:rPr>
        <w:t>preluării</w:t>
      </w:r>
      <w:r w:rsidR="00624041">
        <w:rPr>
          <w:rFonts w:ascii="Tahoma" w:hAnsi="Tahoma" w:cs="Tahoma"/>
          <w:b/>
          <w:sz w:val="22"/>
          <w:szCs w:val="22"/>
          <w:lang w:eastAsia="ar-SA"/>
        </w:rPr>
        <w:t xml:space="preserve"> in administrarea Municipiului Dej a unui sector din strada Traian, proprietatea publica a Comunei Cuzdrioara</w:t>
      </w:r>
    </w:p>
    <w:p w:rsidR="007069B1" w:rsidRDefault="007069B1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7069B1" w:rsidRPr="007A7A56" w:rsidRDefault="007069B1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3D5B8B" w:rsidRDefault="00124514" w:rsidP="00124514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         </w:t>
      </w:r>
      <w:r w:rsidR="0046012D">
        <w:rPr>
          <w:rFonts w:ascii="Tahoma" w:hAnsi="Tahoma" w:cs="Tahoma"/>
          <w:b/>
          <w:sz w:val="22"/>
          <w:szCs w:val="22"/>
          <w:lang w:eastAsia="ar-SA"/>
        </w:rPr>
        <w:t>Având</w:t>
      </w:r>
      <w:r w:rsidR="001613EA">
        <w:rPr>
          <w:rFonts w:ascii="Tahoma" w:hAnsi="Tahoma" w:cs="Tahoma"/>
          <w:b/>
          <w:sz w:val="22"/>
          <w:szCs w:val="22"/>
          <w:lang w:eastAsia="ar-SA"/>
        </w:rPr>
        <w:t xml:space="preserve"> in vedere</w:t>
      </w:r>
    </w:p>
    <w:p w:rsidR="002C6720" w:rsidRDefault="0050572D" w:rsidP="002C6720">
      <w:pPr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</w:t>
      </w:r>
      <w:r w:rsidR="001C3C30">
        <w:rPr>
          <w:rFonts w:ascii="Tahoma" w:hAnsi="Tahoma" w:cs="Tahoma"/>
          <w:bCs/>
          <w:sz w:val="22"/>
          <w:szCs w:val="22"/>
          <w:lang w:eastAsia="ar-SA"/>
        </w:rPr>
        <w:t xml:space="preserve"> Raportul 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de specialitate 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Nr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…….</w:t>
      </w:r>
      <w:r w:rsidR="00DA250D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din data de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……….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, al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Compartimentului  Patrimoniu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din cadrul Primăriei Municipiului Dej, prin care se propune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</w:t>
      </w:r>
      <w:r w:rsidR="00A8018B" w:rsidRPr="00A8018B">
        <w:rPr>
          <w:rFonts w:ascii="Tahoma" w:hAnsi="Tahoma" w:cs="Tahoma"/>
          <w:bCs/>
          <w:sz w:val="22"/>
          <w:szCs w:val="22"/>
          <w:lang w:eastAsia="ar-SA"/>
        </w:rPr>
        <w:t xml:space="preserve">aprobarea preluării in administrarea Municipiului Dej a unui sector din strada Traian, proprietatea publica a Comunei Cuzdrioara </w:t>
      </w:r>
    </w:p>
    <w:p w:rsidR="00026299" w:rsidRDefault="00026299" w:rsidP="002C6720">
      <w:pPr>
        <w:rPr>
          <w:rFonts w:ascii="Tahoma" w:hAnsi="Tahoma" w:cs="Tahoma"/>
          <w:bCs/>
          <w:sz w:val="22"/>
          <w:szCs w:val="22"/>
          <w:lang w:eastAsia="ar-SA"/>
        </w:rPr>
      </w:pPr>
      <w:r>
        <w:rPr>
          <w:rFonts w:ascii="Tahoma" w:hAnsi="Tahoma" w:cs="Tahoma"/>
          <w:bCs/>
          <w:sz w:val="22"/>
          <w:szCs w:val="22"/>
          <w:lang w:eastAsia="ar-SA"/>
        </w:rPr>
        <w:tab/>
        <w:t>H.C.L.nr.46/2</w:t>
      </w:r>
      <w:r w:rsidR="008C4A5A">
        <w:rPr>
          <w:rFonts w:ascii="Tahoma" w:hAnsi="Tahoma" w:cs="Tahoma"/>
          <w:bCs/>
          <w:sz w:val="22"/>
          <w:szCs w:val="22"/>
          <w:lang w:eastAsia="ar-SA"/>
        </w:rPr>
        <w:t>8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  <w:lang w:eastAsia="ar-SA"/>
        </w:rPr>
        <w:t xml:space="preserve"> noiembrie 2019 a Consiliului Local Cuzdrioara privind darea </w:t>
      </w:r>
      <w:r w:rsidRPr="00026299">
        <w:rPr>
          <w:rFonts w:ascii="Tahoma" w:hAnsi="Tahoma" w:cs="Tahoma"/>
          <w:bCs/>
          <w:sz w:val="22"/>
          <w:szCs w:val="22"/>
          <w:lang w:eastAsia="ar-SA"/>
        </w:rPr>
        <w:t>in administrarea Municipiului Dej a unui sector din strada Traian, proprietatea publica a Comunei Cuzdrioara</w:t>
      </w:r>
      <w:r>
        <w:rPr>
          <w:rFonts w:ascii="Tahoma" w:hAnsi="Tahoma" w:cs="Tahoma"/>
          <w:bCs/>
          <w:sz w:val="22"/>
          <w:szCs w:val="22"/>
          <w:lang w:eastAsia="ar-SA"/>
        </w:rPr>
        <w:t>;</w:t>
      </w:r>
    </w:p>
    <w:p w:rsidR="00026299" w:rsidRDefault="00026299" w:rsidP="002C6720">
      <w:pPr>
        <w:rPr>
          <w:rFonts w:ascii="Tahoma" w:hAnsi="Tahoma" w:cs="Tahoma"/>
          <w:bCs/>
          <w:sz w:val="22"/>
          <w:szCs w:val="22"/>
          <w:lang w:eastAsia="ar-SA"/>
        </w:rPr>
      </w:pPr>
      <w:r>
        <w:rPr>
          <w:rFonts w:ascii="Tahoma" w:hAnsi="Tahoma" w:cs="Tahoma"/>
          <w:bCs/>
          <w:sz w:val="22"/>
          <w:szCs w:val="22"/>
          <w:lang w:eastAsia="ar-SA"/>
        </w:rPr>
        <w:tab/>
        <w:t>Art.8, art.10 si art.22 din O.G. 43/1997 privin</w:t>
      </w:r>
      <w:r w:rsidR="005D2188">
        <w:rPr>
          <w:rFonts w:ascii="Tahoma" w:hAnsi="Tahoma" w:cs="Tahoma"/>
          <w:bCs/>
          <w:sz w:val="22"/>
          <w:szCs w:val="22"/>
          <w:lang w:eastAsia="ar-SA"/>
        </w:rPr>
        <w:t>d regimul juridic al drumurilor republicata, cu modificările si completările ulterioare;</w:t>
      </w:r>
    </w:p>
    <w:p w:rsidR="005D2188" w:rsidRPr="002C6720" w:rsidRDefault="005D2188" w:rsidP="002C6720">
      <w:pPr>
        <w:rPr>
          <w:rFonts w:ascii="Tahoma" w:hAnsi="Tahoma" w:cs="Tahoma"/>
          <w:bCs/>
          <w:sz w:val="22"/>
          <w:szCs w:val="22"/>
          <w:lang w:eastAsia="ar-SA"/>
        </w:rPr>
      </w:pPr>
      <w:r>
        <w:rPr>
          <w:rFonts w:ascii="Tahoma" w:hAnsi="Tahoma" w:cs="Tahoma"/>
          <w:bCs/>
          <w:sz w:val="22"/>
          <w:szCs w:val="22"/>
          <w:lang w:eastAsia="ar-SA"/>
        </w:rPr>
        <w:tab/>
        <w:t xml:space="preserve">Art.868-870 din Legea 287/2009 privind Codul Civil, republicata </w:t>
      </w:r>
      <w:r w:rsidRPr="005D2188">
        <w:rPr>
          <w:rFonts w:ascii="Tahoma" w:hAnsi="Tahoma" w:cs="Tahoma"/>
          <w:bCs/>
          <w:sz w:val="22"/>
          <w:szCs w:val="22"/>
          <w:lang w:eastAsia="ar-SA"/>
        </w:rPr>
        <w:t>cu modificările si completările ulterioare;</w:t>
      </w:r>
    </w:p>
    <w:p w:rsidR="007A7A56" w:rsidRPr="007A7A56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 În temeiul prevederilor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129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alin. (2), lit. c);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139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, alin. (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>3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)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proofErr w:type="spellStart"/>
      <w:r w:rsidR="0046012D">
        <w:rPr>
          <w:rFonts w:ascii="Tahoma" w:hAnsi="Tahoma" w:cs="Tahoma"/>
          <w:bCs/>
          <w:sz w:val="22"/>
          <w:szCs w:val="22"/>
          <w:lang w:eastAsia="ar-SA"/>
        </w:rPr>
        <w:t>lit.g</w:t>
      </w:r>
      <w:proofErr w:type="spellEnd"/>
      <w:r w:rsidR="00471546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i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196</w:t>
      </w:r>
      <w:r w:rsidR="002C6720">
        <w:rPr>
          <w:rFonts w:ascii="Tahoma" w:hAnsi="Tahoma" w:cs="Tahoma"/>
          <w:bCs/>
          <w:sz w:val="22"/>
          <w:szCs w:val="22"/>
          <w:lang w:eastAsia="ar-SA"/>
        </w:rPr>
        <w:t xml:space="preserve"> alin.(1) 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222BEF" w:rsidRPr="007A7A56">
        <w:rPr>
          <w:rFonts w:ascii="Tahoma" w:hAnsi="Tahoma" w:cs="Tahoma"/>
          <w:sz w:val="22"/>
          <w:szCs w:val="22"/>
        </w:rPr>
        <w:t>din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O.</w:t>
      </w:r>
      <w:r w:rsidR="0046341F">
        <w:rPr>
          <w:rFonts w:ascii="Tahoma" w:hAnsi="Tahoma" w:cs="Tahoma"/>
          <w:bCs/>
          <w:sz w:val="22"/>
          <w:szCs w:val="22"/>
          <w:lang w:eastAsia="ar-SA"/>
        </w:rPr>
        <w:t>U.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G. 57/2019 privind Cod</w:t>
      </w:r>
      <w:r w:rsidR="0046341F">
        <w:rPr>
          <w:rFonts w:ascii="Tahoma" w:hAnsi="Tahoma" w:cs="Tahoma"/>
          <w:bCs/>
          <w:sz w:val="22"/>
          <w:szCs w:val="22"/>
          <w:lang w:eastAsia="ar-SA"/>
        </w:rPr>
        <w:t>ul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 xml:space="preserve"> Administrativ;</w:t>
      </w:r>
    </w:p>
    <w:p w:rsidR="00C721F5" w:rsidRPr="007A7A56" w:rsidRDefault="00C721F5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7A7A56" w:rsidRPr="007A7A56" w:rsidRDefault="007A7A5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6E6E76" w:rsidRPr="007A7A5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5D2188" w:rsidRDefault="006E6E76" w:rsidP="005D2188">
      <w:pP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    </w:t>
      </w:r>
      <w:r w:rsidR="00165A11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 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aproba </w:t>
      </w:r>
      <w:r w:rsidR="005D218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preluarea</w:t>
      </w:r>
      <w:r w:rsidR="005D2188" w:rsidRPr="005D218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in administrarea Municipiului Dej a unui sector din strada Traian, proprietatea publica a Comunei Cuzdrioara</w:t>
      </w:r>
      <w:r w:rsidR="005D218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 conform CF nr.52186 Cuzdrioara, de la km 0+430 la limita teritoriala a Municipiului Dej, cartier Dej-Triaj.</w:t>
      </w:r>
    </w:p>
    <w:p w:rsidR="002C6720" w:rsidRDefault="005D2188" w:rsidP="002C6720">
      <w:pP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 </w:t>
      </w:r>
      <w:r w:rsidRPr="005D2188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Art.2.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650259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Destinația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bunului care face obiectul </w:t>
      </w:r>
      <w:r w:rsidR="00650259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preluării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in administrare este de drum public, conform </w:t>
      </w:r>
      <w:r w:rsidR="00650259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dispozițiilor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art.3 </w:t>
      </w:r>
      <w:proofErr w:type="spellStart"/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lit.a</w:t>
      </w:r>
      <w:proofErr w:type="spellEnd"/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) din O.G.43/1997.</w:t>
      </w:r>
    </w:p>
    <w:p w:rsidR="005D2188" w:rsidRPr="002C6720" w:rsidRDefault="005D2188" w:rsidP="002C6720">
      <w:pP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EF31B0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     Art.3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. </w:t>
      </w:r>
      <w:r w:rsidR="00650259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Termenul de predare-primire a bunului </w:t>
      </w:r>
      <w:r w:rsidR="00EF31B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menționat la art.1 se stabilește ulterior, printr-un proces verbal de predare-primire încheiat intre cele doua U.A.T.-uri.</w:t>
      </w:r>
    </w:p>
    <w:p w:rsidR="003C5EF8" w:rsidRDefault="001B53D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EF31B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EF31B0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4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Cu ducerea  la îndeplinire a prevederilor prezentei hotărâri se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încredințează</w:t>
      </w:r>
      <w:r w:rsidR="00EF6C5F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Serviciul SUAT, Compartiment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Patrimoniu public și privat și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din cadrul Primăriei Municipiului Dej.</w:t>
      </w:r>
    </w:p>
    <w:p w:rsidR="00F43C3C" w:rsidRPr="007A7A56" w:rsidRDefault="00F43C3C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EF31B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</w:t>
      </w:r>
      <w:r w:rsidR="00EF31B0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5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.</w:t>
      </w:r>
      <w:r w:rsidR="00D74513" w:rsidRPr="00D74513">
        <w:t xml:space="preserve">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Prezenta hotărâre se comunică prin intermediul secretarului, în termenul prevăzut de lege, Primarului Municipiului Dej, Serviciului de Urbanism si Amenajarea Teritoriului, Compartimentului Patrimoniu Public si Privat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ui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si Instituției Prefectului Județului Cluj</w:t>
      </w:r>
      <w:r w:rsidR="00C55272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222BEF" w:rsidRPr="007A7A56" w:rsidRDefault="003C5EF8" w:rsidP="003C5EF8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EF31B0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EF31B0">
        <w:rPr>
          <w:rFonts w:ascii="Tahoma" w:hAnsi="Tahoma" w:cs="Tahoma"/>
          <w:b/>
          <w:sz w:val="22"/>
          <w:szCs w:val="22"/>
        </w:rPr>
        <w:t>I N I  Ț I A T O R</w:t>
      </w:r>
    </w:p>
    <w:p w:rsidR="00943476" w:rsidRPr="007A7A56" w:rsidRDefault="00EF31B0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EF31B0">
        <w:rPr>
          <w:rFonts w:ascii="Tahoma" w:hAnsi="Tahoma" w:cs="Tahoma"/>
          <w:b/>
          <w:sz w:val="22"/>
          <w:szCs w:val="22"/>
        </w:rPr>
        <w:t xml:space="preserve">P R I M A R  </w:t>
      </w:r>
    </w:p>
    <w:p w:rsidR="00943476" w:rsidRDefault="00EF31B0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Ing.</w:t>
      </w:r>
      <w:r w:rsidRPr="00EF31B0">
        <w:rPr>
          <w:rFonts w:ascii="Tahoma" w:hAnsi="Tahoma" w:cs="Tahoma"/>
          <w:b/>
          <w:sz w:val="22"/>
          <w:szCs w:val="22"/>
        </w:rPr>
        <w:t>Morar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Costan</w:t>
      </w:r>
      <w:proofErr w:type="spellEnd"/>
      <w:r w:rsidR="0015245B" w:rsidRPr="007A7A56">
        <w:rPr>
          <w:rFonts w:ascii="Tahoma" w:hAnsi="Tahoma" w:cs="Tahoma"/>
          <w:b/>
          <w:sz w:val="22"/>
          <w:szCs w:val="22"/>
        </w:rPr>
        <w:tab/>
      </w:r>
    </w:p>
    <w:p w:rsidR="007A7A56" w:rsidRPr="007A7A56" w:rsidRDefault="007A7A5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</w:r>
    </w:p>
    <w:p w:rsidR="00943476" w:rsidRPr="007A7A56" w:rsidRDefault="007A7A5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</w:t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  <w:t xml:space="preserve">                           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   </w:t>
      </w:r>
      <w:r w:rsidR="00EF31B0">
        <w:rPr>
          <w:rFonts w:ascii="Tahoma" w:hAnsi="Tahoma" w:cs="Tahoma"/>
          <w:b/>
          <w:sz w:val="22"/>
          <w:szCs w:val="22"/>
        </w:rPr>
        <w:tab/>
      </w:r>
      <w:r w:rsidR="00EF31B0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>Contrasemnează,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</w:t>
      </w:r>
      <w:r w:rsidR="007A7A56">
        <w:rPr>
          <w:rFonts w:ascii="Tahoma" w:hAnsi="Tahoma" w:cs="Tahoma"/>
          <w:b/>
          <w:sz w:val="22"/>
          <w:szCs w:val="22"/>
        </w:rPr>
        <w:t xml:space="preserve"> </w:t>
      </w:r>
      <w:r w:rsidRPr="007A7A56">
        <w:rPr>
          <w:rFonts w:ascii="Tahoma" w:hAnsi="Tahoma" w:cs="Tahoma"/>
          <w:b/>
          <w:sz w:val="22"/>
          <w:szCs w:val="22"/>
        </w:rPr>
        <w:t xml:space="preserve">     </w:t>
      </w:r>
      <w:r w:rsidR="00EF31B0">
        <w:rPr>
          <w:rFonts w:ascii="Tahoma" w:hAnsi="Tahoma" w:cs="Tahoma"/>
          <w:b/>
          <w:sz w:val="22"/>
          <w:szCs w:val="22"/>
        </w:rPr>
        <w:tab/>
      </w:r>
      <w:r w:rsidR="00EF31B0">
        <w:rPr>
          <w:rFonts w:ascii="Tahoma" w:hAnsi="Tahoma" w:cs="Tahoma"/>
          <w:b/>
          <w:sz w:val="22"/>
          <w:szCs w:val="22"/>
        </w:rPr>
        <w:tab/>
      </w:r>
      <w:r w:rsidR="00EF31B0">
        <w:rPr>
          <w:rFonts w:ascii="Tahoma" w:hAnsi="Tahoma" w:cs="Tahoma"/>
          <w:b/>
          <w:sz w:val="22"/>
          <w:szCs w:val="22"/>
        </w:rPr>
        <w:tab/>
      </w:r>
      <w:r w:rsidR="00EF31B0">
        <w:rPr>
          <w:rFonts w:ascii="Tahoma" w:hAnsi="Tahoma" w:cs="Tahoma"/>
          <w:b/>
          <w:sz w:val="22"/>
          <w:szCs w:val="22"/>
        </w:rPr>
        <w:tab/>
      </w:r>
      <w:r w:rsidR="00EF31B0">
        <w:rPr>
          <w:rFonts w:ascii="Tahoma" w:hAnsi="Tahoma" w:cs="Tahoma"/>
          <w:b/>
          <w:sz w:val="22"/>
          <w:szCs w:val="22"/>
        </w:rPr>
        <w:tab/>
      </w:r>
      <w:r w:rsidR="00EF31B0">
        <w:rPr>
          <w:rFonts w:ascii="Tahoma" w:hAnsi="Tahoma" w:cs="Tahoma"/>
          <w:b/>
          <w:sz w:val="22"/>
          <w:szCs w:val="22"/>
        </w:rPr>
        <w:tab/>
      </w:r>
      <w:r w:rsidR="00EF31B0">
        <w:rPr>
          <w:rFonts w:ascii="Tahoma" w:hAnsi="Tahoma" w:cs="Tahoma"/>
          <w:b/>
          <w:sz w:val="22"/>
          <w:szCs w:val="22"/>
        </w:rPr>
        <w:tab/>
        <w:t xml:space="preserve">    </w:t>
      </w:r>
      <w:r w:rsidRPr="007A7A56">
        <w:rPr>
          <w:rFonts w:ascii="Tahoma" w:hAnsi="Tahoma" w:cs="Tahoma"/>
          <w:b/>
          <w:sz w:val="22"/>
          <w:szCs w:val="22"/>
        </w:rPr>
        <w:t xml:space="preserve"> Secretar</w:t>
      </w:r>
      <w:r w:rsidR="00EF31B0">
        <w:rPr>
          <w:rFonts w:ascii="Tahoma" w:hAnsi="Tahoma" w:cs="Tahoma"/>
          <w:b/>
          <w:sz w:val="22"/>
          <w:szCs w:val="22"/>
        </w:rPr>
        <w:t xml:space="preserve"> general </w:t>
      </w:r>
      <w:proofErr w:type="spellStart"/>
      <w:r w:rsidR="00EF31B0">
        <w:rPr>
          <w:rFonts w:ascii="Tahoma" w:hAnsi="Tahoma" w:cs="Tahoma"/>
          <w:b/>
          <w:sz w:val="22"/>
          <w:szCs w:val="22"/>
        </w:rPr>
        <w:t>Mun.Dej</w:t>
      </w:r>
      <w:proofErr w:type="spellEnd"/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Jr. Pop Cristina      </w:t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sz w:val="22"/>
          <w:szCs w:val="22"/>
        </w:rPr>
        <w:tab/>
      </w:r>
    </w:p>
    <w:p w:rsidR="00DA3F28" w:rsidRPr="007A7A56" w:rsidRDefault="0015245B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sz w:val="22"/>
          <w:szCs w:val="22"/>
        </w:rPr>
        <w:tab/>
      </w:r>
    </w:p>
    <w:sectPr w:rsidR="00DA3F28" w:rsidRPr="007A7A56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48" w:rsidRDefault="00D50948" w:rsidP="00857553">
      <w:r>
        <w:separator/>
      </w:r>
    </w:p>
  </w:endnote>
  <w:endnote w:type="continuationSeparator" w:id="0">
    <w:p w:rsidR="00D50948" w:rsidRDefault="00D5094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48" w:rsidRDefault="00D50948" w:rsidP="00857553">
      <w:r>
        <w:separator/>
      </w:r>
    </w:p>
  </w:footnote>
  <w:footnote w:type="continuationSeparator" w:id="0">
    <w:p w:rsidR="00D50948" w:rsidRDefault="00D5094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6299"/>
    <w:rsid w:val="000353EE"/>
    <w:rsid w:val="00036BCF"/>
    <w:rsid w:val="0004759F"/>
    <w:rsid w:val="000503A8"/>
    <w:rsid w:val="0005513F"/>
    <w:rsid w:val="00061E6B"/>
    <w:rsid w:val="0007062D"/>
    <w:rsid w:val="0007766D"/>
    <w:rsid w:val="00080B78"/>
    <w:rsid w:val="00093C44"/>
    <w:rsid w:val="00097441"/>
    <w:rsid w:val="000A60A7"/>
    <w:rsid w:val="000B1EED"/>
    <w:rsid w:val="000C32D3"/>
    <w:rsid w:val="000D48AC"/>
    <w:rsid w:val="000D6E07"/>
    <w:rsid w:val="000E230D"/>
    <w:rsid w:val="000E6848"/>
    <w:rsid w:val="000F04A1"/>
    <w:rsid w:val="000F5E49"/>
    <w:rsid w:val="00107DC8"/>
    <w:rsid w:val="001131F2"/>
    <w:rsid w:val="00117074"/>
    <w:rsid w:val="00123F38"/>
    <w:rsid w:val="00124514"/>
    <w:rsid w:val="0014412E"/>
    <w:rsid w:val="00147A6E"/>
    <w:rsid w:val="0015245B"/>
    <w:rsid w:val="0015340D"/>
    <w:rsid w:val="001613EA"/>
    <w:rsid w:val="00165A11"/>
    <w:rsid w:val="00171BEE"/>
    <w:rsid w:val="0017685A"/>
    <w:rsid w:val="00182477"/>
    <w:rsid w:val="001867F7"/>
    <w:rsid w:val="00186A15"/>
    <w:rsid w:val="0019070A"/>
    <w:rsid w:val="001A11BE"/>
    <w:rsid w:val="001B53D8"/>
    <w:rsid w:val="001B5DA1"/>
    <w:rsid w:val="001C3C30"/>
    <w:rsid w:val="001C64BC"/>
    <w:rsid w:val="001C6791"/>
    <w:rsid w:val="001D2231"/>
    <w:rsid w:val="001D609C"/>
    <w:rsid w:val="001D6B80"/>
    <w:rsid w:val="001D70A0"/>
    <w:rsid w:val="001F31BA"/>
    <w:rsid w:val="001F544D"/>
    <w:rsid w:val="002103E5"/>
    <w:rsid w:val="00213E33"/>
    <w:rsid w:val="002171D2"/>
    <w:rsid w:val="002200C8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6720"/>
    <w:rsid w:val="002C7B02"/>
    <w:rsid w:val="002E29A6"/>
    <w:rsid w:val="002E5128"/>
    <w:rsid w:val="002E7393"/>
    <w:rsid w:val="002F468B"/>
    <w:rsid w:val="002F6A1A"/>
    <w:rsid w:val="003167F9"/>
    <w:rsid w:val="00320BF1"/>
    <w:rsid w:val="0033377B"/>
    <w:rsid w:val="00336044"/>
    <w:rsid w:val="0034149F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5B8B"/>
    <w:rsid w:val="003D7D57"/>
    <w:rsid w:val="003E557C"/>
    <w:rsid w:val="004002F8"/>
    <w:rsid w:val="00412EF7"/>
    <w:rsid w:val="004175A2"/>
    <w:rsid w:val="004214CD"/>
    <w:rsid w:val="004251DC"/>
    <w:rsid w:val="00427DD1"/>
    <w:rsid w:val="00443328"/>
    <w:rsid w:val="00447186"/>
    <w:rsid w:val="0045375C"/>
    <w:rsid w:val="0046012D"/>
    <w:rsid w:val="004613C8"/>
    <w:rsid w:val="0046341F"/>
    <w:rsid w:val="00471546"/>
    <w:rsid w:val="00474EE6"/>
    <w:rsid w:val="00476A49"/>
    <w:rsid w:val="004844C9"/>
    <w:rsid w:val="00485B7D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6D36"/>
    <w:rsid w:val="00502160"/>
    <w:rsid w:val="00505215"/>
    <w:rsid w:val="0050572D"/>
    <w:rsid w:val="00506FDD"/>
    <w:rsid w:val="005117F3"/>
    <w:rsid w:val="00525201"/>
    <w:rsid w:val="00527400"/>
    <w:rsid w:val="00530230"/>
    <w:rsid w:val="00531A03"/>
    <w:rsid w:val="005324EB"/>
    <w:rsid w:val="00542CDC"/>
    <w:rsid w:val="00553C1A"/>
    <w:rsid w:val="00561348"/>
    <w:rsid w:val="00564805"/>
    <w:rsid w:val="005701D8"/>
    <w:rsid w:val="00573DDF"/>
    <w:rsid w:val="00576B69"/>
    <w:rsid w:val="00586A71"/>
    <w:rsid w:val="00592D6B"/>
    <w:rsid w:val="005A3D01"/>
    <w:rsid w:val="005A604B"/>
    <w:rsid w:val="005A63DD"/>
    <w:rsid w:val="005D2188"/>
    <w:rsid w:val="005D31DF"/>
    <w:rsid w:val="005D7E94"/>
    <w:rsid w:val="005E552B"/>
    <w:rsid w:val="005F2A4C"/>
    <w:rsid w:val="00613911"/>
    <w:rsid w:val="00620AA5"/>
    <w:rsid w:val="00624041"/>
    <w:rsid w:val="006243FC"/>
    <w:rsid w:val="00637EF5"/>
    <w:rsid w:val="00645880"/>
    <w:rsid w:val="00650259"/>
    <w:rsid w:val="00654C9A"/>
    <w:rsid w:val="00660474"/>
    <w:rsid w:val="0068151B"/>
    <w:rsid w:val="00683C61"/>
    <w:rsid w:val="00687778"/>
    <w:rsid w:val="00687F50"/>
    <w:rsid w:val="006908CE"/>
    <w:rsid w:val="00693FBB"/>
    <w:rsid w:val="00693FC4"/>
    <w:rsid w:val="006A4BCE"/>
    <w:rsid w:val="006C1A2D"/>
    <w:rsid w:val="006C2310"/>
    <w:rsid w:val="006C3458"/>
    <w:rsid w:val="006D25E6"/>
    <w:rsid w:val="006E1101"/>
    <w:rsid w:val="006E3C83"/>
    <w:rsid w:val="006E5130"/>
    <w:rsid w:val="006E6E76"/>
    <w:rsid w:val="00703178"/>
    <w:rsid w:val="007043E5"/>
    <w:rsid w:val="007069B1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0103"/>
    <w:rsid w:val="0076455F"/>
    <w:rsid w:val="0076618F"/>
    <w:rsid w:val="007661A2"/>
    <w:rsid w:val="007711AE"/>
    <w:rsid w:val="00780674"/>
    <w:rsid w:val="00780EFA"/>
    <w:rsid w:val="007862B1"/>
    <w:rsid w:val="00786912"/>
    <w:rsid w:val="007A3262"/>
    <w:rsid w:val="007A3C77"/>
    <w:rsid w:val="007A4338"/>
    <w:rsid w:val="007A622E"/>
    <w:rsid w:val="007A7A56"/>
    <w:rsid w:val="007B4D5D"/>
    <w:rsid w:val="007B4D71"/>
    <w:rsid w:val="007B7701"/>
    <w:rsid w:val="007C4DCB"/>
    <w:rsid w:val="007D2BB4"/>
    <w:rsid w:val="007D452E"/>
    <w:rsid w:val="007E0267"/>
    <w:rsid w:val="007E3959"/>
    <w:rsid w:val="007F6F2B"/>
    <w:rsid w:val="00802D50"/>
    <w:rsid w:val="008070E8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C4A5A"/>
    <w:rsid w:val="008D1339"/>
    <w:rsid w:val="008D2141"/>
    <w:rsid w:val="008D51F2"/>
    <w:rsid w:val="008E1633"/>
    <w:rsid w:val="008E2529"/>
    <w:rsid w:val="008E5F7B"/>
    <w:rsid w:val="008E6703"/>
    <w:rsid w:val="008F2A72"/>
    <w:rsid w:val="008F555D"/>
    <w:rsid w:val="00915E21"/>
    <w:rsid w:val="009171BC"/>
    <w:rsid w:val="009207C1"/>
    <w:rsid w:val="00922C76"/>
    <w:rsid w:val="00923C09"/>
    <w:rsid w:val="0092624C"/>
    <w:rsid w:val="00943476"/>
    <w:rsid w:val="009572B7"/>
    <w:rsid w:val="009576C6"/>
    <w:rsid w:val="009742EF"/>
    <w:rsid w:val="009773F5"/>
    <w:rsid w:val="00986A33"/>
    <w:rsid w:val="0099268B"/>
    <w:rsid w:val="009967C3"/>
    <w:rsid w:val="009E7481"/>
    <w:rsid w:val="00A01A07"/>
    <w:rsid w:val="00A01F34"/>
    <w:rsid w:val="00A04CBE"/>
    <w:rsid w:val="00A06B4A"/>
    <w:rsid w:val="00A16E4B"/>
    <w:rsid w:val="00A32FD3"/>
    <w:rsid w:val="00A33D7D"/>
    <w:rsid w:val="00A44F08"/>
    <w:rsid w:val="00A47742"/>
    <w:rsid w:val="00A637E8"/>
    <w:rsid w:val="00A66913"/>
    <w:rsid w:val="00A75935"/>
    <w:rsid w:val="00A8018B"/>
    <w:rsid w:val="00A81871"/>
    <w:rsid w:val="00A906B2"/>
    <w:rsid w:val="00A919B9"/>
    <w:rsid w:val="00A948CC"/>
    <w:rsid w:val="00A94976"/>
    <w:rsid w:val="00AD3A23"/>
    <w:rsid w:val="00AD3A43"/>
    <w:rsid w:val="00AD6470"/>
    <w:rsid w:val="00B05634"/>
    <w:rsid w:val="00B1352B"/>
    <w:rsid w:val="00B14380"/>
    <w:rsid w:val="00B1444B"/>
    <w:rsid w:val="00B1712B"/>
    <w:rsid w:val="00B17F6D"/>
    <w:rsid w:val="00B230E4"/>
    <w:rsid w:val="00B41B25"/>
    <w:rsid w:val="00B4677C"/>
    <w:rsid w:val="00B71B36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D6B16"/>
    <w:rsid w:val="00BF05CA"/>
    <w:rsid w:val="00BF2C06"/>
    <w:rsid w:val="00C042EB"/>
    <w:rsid w:val="00C062BC"/>
    <w:rsid w:val="00C20CC0"/>
    <w:rsid w:val="00C34AEA"/>
    <w:rsid w:val="00C40B24"/>
    <w:rsid w:val="00C43287"/>
    <w:rsid w:val="00C43745"/>
    <w:rsid w:val="00C545B8"/>
    <w:rsid w:val="00C54A0F"/>
    <w:rsid w:val="00C55272"/>
    <w:rsid w:val="00C70CCF"/>
    <w:rsid w:val="00C7128E"/>
    <w:rsid w:val="00C721F5"/>
    <w:rsid w:val="00C72F91"/>
    <w:rsid w:val="00C77F64"/>
    <w:rsid w:val="00CC260F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2E5E"/>
    <w:rsid w:val="00D33D22"/>
    <w:rsid w:val="00D50948"/>
    <w:rsid w:val="00D53ABF"/>
    <w:rsid w:val="00D54678"/>
    <w:rsid w:val="00D56CF8"/>
    <w:rsid w:val="00D6150C"/>
    <w:rsid w:val="00D74513"/>
    <w:rsid w:val="00D9780C"/>
    <w:rsid w:val="00DA250D"/>
    <w:rsid w:val="00DA3F28"/>
    <w:rsid w:val="00DA647E"/>
    <w:rsid w:val="00DB0B44"/>
    <w:rsid w:val="00DC0BF7"/>
    <w:rsid w:val="00DC37E0"/>
    <w:rsid w:val="00DD485D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854BE"/>
    <w:rsid w:val="00E932E9"/>
    <w:rsid w:val="00EA2CD6"/>
    <w:rsid w:val="00EA5AFC"/>
    <w:rsid w:val="00EB3347"/>
    <w:rsid w:val="00EB448C"/>
    <w:rsid w:val="00EC0F25"/>
    <w:rsid w:val="00ED64FE"/>
    <w:rsid w:val="00EF31B0"/>
    <w:rsid w:val="00EF39BC"/>
    <w:rsid w:val="00EF5330"/>
    <w:rsid w:val="00EF60A8"/>
    <w:rsid w:val="00EF6C5F"/>
    <w:rsid w:val="00F11C9F"/>
    <w:rsid w:val="00F13E1F"/>
    <w:rsid w:val="00F14069"/>
    <w:rsid w:val="00F148F2"/>
    <w:rsid w:val="00F30207"/>
    <w:rsid w:val="00F306DD"/>
    <w:rsid w:val="00F43C3C"/>
    <w:rsid w:val="00F43D39"/>
    <w:rsid w:val="00F54AFD"/>
    <w:rsid w:val="00F621FA"/>
    <w:rsid w:val="00F6764C"/>
    <w:rsid w:val="00F7188C"/>
    <w:rsid w:val="00F73E13"/>
    <w:rsid w:val="00F97DE0"/>
    <w:rsid w:val="00FA2F5D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B49C66-EA56-4341-AC48-2362700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2504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Mihaela Lazar</cp:lastModifiedBy>
  <cp:revision>5</cp:revision>
  <cp:lastPrinted>2018-12-04T08:10:00Z</cp:lastPrinted>
  <dcterms:created xsi:type="dcterms:W3CDTF">2019-12-04T08:03:00Z</dcterms:created>
  <dcterms:modified xsi:type="dcterms:W3CDTF">2019-12-19T06:53:00Z</dcterms:modified>
</cp:coreProperties>
</file>